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503CAA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22117F" w:rsidRDefault="0022117F" w:rsidP="0022117F">
      <w:pPr>
        <w:spacing w:line="240" w:lineRule="auto"/>
        <w:jc w:val="right"/>
        <w:rPr>
          <w:rFonts w:ascii="Times New Roman" w:hAnsi="Times New Roman"/>
          <w:b/>
          <w:color w:val="4F81BD" w:themeColor="accent1"/>
          <w:sz w:val="20"/>
          <w:szCs w:val="28"/>
        </w:rPr>
      </w:pPr>
    </w:p>
    <w:p w:rsidR="0022117F" w:rsidRPr="0022117F" w:rsidRDefault="0022117F" w:rsidP="0022117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117F">
        <w:rPr>
          <w:rFonts w:ascii="Times New Roman" w:hAnsi="Times New Roman"/>
          <w:b/>
          <w:i/>
          <w:sz w:val="28"/>
          <w:szCs w:val="28"/>
        </w:rPr>
        <w:t>СПРАВКА</w:t>
      </w:r>
    </w:p>
    <w:p w:rsidR="0022117F" w:rsidRPr="0022117F" w:rsidRDefault="0022117F" w:rsidP="0022117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117F">
        <w:rPr>
          <w:rFonts w:ascii="Times New Roman" w:hAnsi="Times New Roman"/>
          <w:b/>
          <w:i/>
          <w:sz w:val="28"/>
          <w:szCs w:val="28"/>
        </w:rPr>
        <w:t xml:space="preserve">по </w:t>
      </w:r>
      <w:proofErr w:type="spellStart"/>
      <w:r w:rsidRPr="0022117F">
        <w:rPr>
          <w:rFonts w:ascii="Times New Roman" w:hAnsi="Times New Roman"/>
          <w:b/>
          <w:i/>
          <w:sz w:val="28"/>
          <w:szCs w:val="28"/>
        </w:rPr>
        <w:t>Симуляционному</w:t>
      </w:r>
      <w:proofErr w:type="spellEnd"/>
      <w:r w:rsidRPr="0022117F">
        <w:rPr>
          <w:rFonts w:ascii="Times New Roman" w:hAnsi="Times New Roman"/>
          <w:b/>
          <w:i/>
          <w:sz w:val="28"/>
          <w:szCs w:val="28"/>
        </w:rPr>
        <w:t xml:space="preserve"> центру </w:t>
      </w:r>
    </w:p>
    <w:p w:rsidR="0022117F" w:rsidRPr="0022117F" w:rsidRDefault="0022117F" w:rsidP="0022117F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tt-RU"/>
        </w:rPr>
      </w:pPr>
      <w:r w:rsidRPr="0022117F">
        <w:rPr>
          <w:rFonts w:ascii="Times New Roman" w:hAnsi="Times New Roman"/>
          <w:b/>
          <w:i/>
          <w:sz w:val="28"/>
          <w:szCs w:val="28"/>
        </w:rPr>
        <w:t xml:space="preserve">Образовательного центра высоких медицинских технологий </w:t>
      </w:r>
    </w:p>
    <w:p w:rsidR="0022117F" w:rsidRPr="0022117F" w:rsidRDefault="0022117F" w:rsidP="0022117F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2117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AMTEC</w:t>
      </w:r>
      <w:r w:rsidRPr="0022117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22117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KAZA</w:t>
      </w:r>
      <w:bookmarkStart w:id="0" w:name="_GoBack"/>
      <w:bookmarkEnd w:id="0"/>
      <w:r w:rsidRPr="0022117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N</w:t>
      </w:r>
    </w:p>
    <w:p w:rsidR="0022117F" w:rsidRPr="0022117F" w:rsidRDefault="0022117F" w:rsidP="0022117F">
      <w:pPr>
        <w:spacing w:line="240" w:lineRule="auto"/>
        <w:jc w:val="center"/>
        <w:rPr>
          <w:rFonts w:ascii="Times New Roman" w:eastAsiaTheme="minorHAnsi" w:hAnsi="Times New Roman"/>
          <w:b/>
          <w:i/>
          <w:noProof/>
          <w:sz w:val="28"/>
          <w:szCs w:val="28"/>
          <w:lang w:eastAsia="ru-RU"/>
        </w:rPr>
      </w:pPr>
    </w:p>
    <w:p w:rsidR="0022117F" w:rsidRDefault="0022117F" w:rsidP="0022117F">
      <w:pPr>
        <w:spacing w:line="240" w:lineRule="auto"/>
        <w:rPr>
          <w:rFonts w:ascii="Times New Roman" w:hAnsi="Times New Roman"/>
          <w:b/>
          <w:noProof/>
          <w:sz w:val="24"/>
          <w:szCs w:val="28"/>
          <w:lang w:eastAsia="ru-RU"/>
        </w:rPr>
      </w:pPr>
    </w:p>
    <w:p w:rsidR="0022117F" w:rsidRDefault="0022117F" w:rsidP="0022117F">
      <w:pPr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Наименование объекта:</w:t>
      </w:r>
      <w:r>
        <w:rPr>
          <w:sz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Симуляционный</w:t>
      </w:r>
      <w:proofErr w:type="spellEnd"/>
      <w:r>
        <w:rPr>
          <w:rFonts w:ascii="Times New Roman" w:hAnsi="Times New Roman"/>
          <w:sz w:val="28"/>
          <w:szCs w:val="24"/>
        </w:rPr>
        <w:t xml:space="preserve"> центр Образовательного центра в</w:t>
      </w:r>
      <w:r>
        <w:rPr>
          <w:rFonts w:ascii="Times New Roman" w:hAnsi="Times New Roman"/>
          <w:sz w:val="28"/>
          <w:szCs w:val="24"/>
        </w:rPr>
        <w:t>ы</w:t>
      </w:r>
      <w:r>
        <w:rPr>
          <w:rFonts w:ascii="Times New Roman" w:hAnsi="Times New Roman"/>
          <w:sz w:val="28"/>
          <w:szCs w:val="24"/>
        </w:rPr>
        <w:t xml:space="preserve">соких медицинских технологий </w:t>
      </w:r>
    </w:p>
    <w:p w:rsidR="0022117F" w:rsidRDefault="0022117F" w:rsidP="0022117F">
      <w:pPr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Адрес:</w:t>
      </w:r>
      <w:r>
        <w:rPr>
          <w:rFonts w:ascii="Times New Roman" w:hAnsi="Times New Roman"/>
          <w:sz w:val="28"/>
          <w:szCs w:val="24"/>
        </w:rPr>
        <w:t xml:space="preserve"> г. Казань, ул. Оренбургский тракт, д.138, блок «Д»</w:t>
      </w:r>
    </w:p>
    <w:p w:rsidR="0022117F" w:rsidRDefault="0022117F" w:rsidP="0022117F">
      <w:pPr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Генеральный директор:</w:t>
      </w:r>
      <w:r>
        <w:rPr>
          <w:rFonts w:ascii="Times New Roman" w:hAnsi="Times New Roman"/>
          <w:sz w:val="28"/>
          <w:szCs w:val="24"/>
        </w:rPr>
        <w:t xml:space="preserve">  Галинский Леонид Иосифович</w:t>
      </w:r>
    </w:p>
    <w:p w:rsidR="0022117F" w:rsidRDefault="0022117F" w:rsidP="0022117F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Проектировщик: </w:t>
      </w:r>
      <w:r>
        <w:rPr>
          <w:rFonts w:ascii="Times New Roman" w:hAnsi="Times New Roman"/>
          <w:sz w:val="28"/>
          <w:szCs w:val="24"/>
        </w:rPr>
        <w:t>Некоммерческое партнерство «</w:t>
      </w:r>
      <w:proofErr w:type="gramStart"/>
      <w:r>
        <w:rPr>
          <w:rFonts w:ascii="Times New Roman" w:hAnsi="Times New Roman"/>
          <w:sz w:val="28"/>
          <w:szCs w:val="24"/>
        </w:rPr>
        <w:t>Образовательный</w:t>
      </w:r>
      <w:proofErr w:type="gramEnd"/>
      <w:r>
        <w:rPr>
          <w:rFonts w:ascii="Times New Roman" w:hAnsi="Times New Roman"/>
          <w:sz w:val="28"/>
          <w:szCs w:val="24"/>
        </w:rPr>
        <w:t xml:space="preserve"> центр в</w:t>
      </w:r>
      <w:r>
        <w:rPr>
          <w:rFonts w:ascii="Times New Roman" w:hAnsi="Times New Roman"/>
          <w:sz w:val="28"/>
          <w:szCs w:val="24"/>
        </w:rPr>
        <w:t>ы</w:t>
      </w:r>
      <w:r>
        <w:rPr>
          <w:rFonts w:ascii="Times New Roman" w:hAnsi="Times New Roman"/>
          <w:sz w:val="28"/>
          <w:szCs w:val="24"/>
        </w:rPr>
        <w:t>соких медицинских технологий»</w:t>
      </w:r>
    </w:p>
    <w:p w:rsidR="0022117F" w:rsidRDefault="0022117F" w:rsidP="0022117F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Заказчик: </w:t>
      </w:r>
      <w:r>
        <w:rPr>
          <w:rFonts w:ascii="Times New Roman" w:hAnsi="Times New Roman"/>
          <w:sz w:val="28"/>
          <w:szCs w:val="24"/>
        </w:rPr>
        <w:t>Некоммерческое партнерство «</w:t>
      </w:r>
      <w:proofErr w:type="gramStart"/>
      <w:r>
        <w:rPr>
          <w:rFonts w:ascii="Times New Roman" w:hAnsi="Times New Roman"/>
          <w:sz w:val="28"/>
          <w:szCs w:val="24"/>
        </w:rPr>
        <w:t>Образовательный</w:t>
      </w:r>
      <w:proofErr w:type="gramEnd"/>
      <w:r>
        <w:rPr>
          <w:rFonts w:ascii="Times New Roman" w:hAnsi="Times New Roman"/>
          <w:sz w:val="28"/>
          <w:szCs w:val="24"/>
        </w:rPr>
        <w:t xml:space="preserve"> центр высоких медицинских технологий»</w:t>
      </w:r>
    </w:p>
    <w:p w:rsidR="0022117F" w:rsidRDefault="0022117F" w:rsidP="0022117F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Генподрядчик: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ООО «Инженер»</w:t>
      </w:r>
    </w:p>
    <w:p w:rsidR="0022117F" w:rsidRDefault="0022117F" w:rsidP="0022117F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Общая площадь здания: </w:t>
      </w:r>
      <w:r>
        <w:rPr>
          <w:rFonts w:ascii="Times New Roman" w:hAnsi="Times New Roman"/>
          <w:sz w:val="28"/>
          <w:szCs w:val="28"/>
        </w:rPr>
        <w:t xml:space="preserve">561,1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117F" w:rsidRDefault="0022117F" w:rsidP="0022117F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Стоимость объекта: </w:t>
      </w:r>
      <w:r>
        <w:rPr>
          <w:rFonts w:ascii="Times New Roman" w:hAnsi="Times New Roman"/>
          <w:sz w:val="28"/>
          <w:szCs w:val="24"/>
        </w:rPr>
        <w:t>11 млн. рублей</w:t>
      </w:r>
    </w:p>
    <w:p w:rsidR="0022117F" w:rsidRDefault="0022117F" w:rsidP="0022117F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Источник финансирования: </w:t>
      </w:r>
    </w:p>
    <w:p w:rsidR="0022117F" w:rsidRDefault="0022117F" w:rsidP="0022117F">
      <w:pPr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7,5 млн. руб. - собственные средства Некоммерческого партнерства «</w:t>
      </w:r>
      <w:proofErr w:type="gramStart"/>
      <w:r>
        <w:rPr>
          <w:rFonts w:ascii="Times New Roman" w:hAnsi="Times New Roman"/>
          <w:sz w:val="28"/>
          <w:szCs w:val="24"/>
        </w:rPr>
        <w:t>Образов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тельный</w:t>
      </w:r>
      <w:proofErr w:type="gramEnd"/>
      <w:r>
        <w:rPr>
          <w:rFonts w:ascii="Times New Roman" w:hAnsi="Times New Roman"/>
          <w:sz w:val="28"/>
          <w:szCs w:val="24"/>
        </w:rPr>
        <w:t xml:space="preserve"> центр высоких медицинских технологий»</w:t>
      </w:r>
    </w:p>
    <w:p w:rsidR="0022117F" w:rsidRDefault="0022117F" w:rsidP="0022117F">
      <w:pPr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3,5 млн. руб. – целевое пожертвование ООО «</w:t>
      </w:r>
      <w:proofErr w:type="spellStart"/>
      <w:r>
        <w:rPr>
          <w:rFonts w:ascii="Times New Roman" w:hAnsi="Times New Roman"/>
          <w:sz w:val="28"/>
          <w:szCs w:val="24"/>
        </w:rPr>
        <w:t>Эйдос</w:t>
      </w:r>
      <w:proofErr w:type="spellEnd"/>
      <w:r>
        <w:rPr>
          <w:rFonts w:ascii="Times New Roman" w:hAnsi="Times New Roman"/>
          <w:sz w:val="28"/>
          <w:szCs w:val="24"/>
        </w:rPr>
        <w:t xml:space="preserve"> Медицина»</w:t>
      </w:r>
    </w:p>
    <w:p w:rsidR="0022117F" w:rsidRDefault="0022117F" w:rsidP="0022117F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Общая информация: </w:t>
      </w:r>
    </w:p>
    <w:p w:rsidR="0022117F" w:rsidRDefault="0022117F" w:rsidP="0022117F">
      <w:pPr>
        <w:ind w:firstLine="709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центр высоких медицинских технологий </w:t>
      </w:r>
      <w:proofErr w:type="gramStart"/>
      <w:r>
        <w:rPr>
          <w:rFonts w:ascii="Times New Roman" w:hAnsi="Times New Roman"/>
          <w:sz w:val="28"/>
          <w:szCs w:val="28"/>
        </w:rPr>
        <w:t>был открыт 25 февраля 2008 года и стал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первым в России образовательным учреждением по постдипломной подготовки медицинских специалистов, выполненный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с международными стандартами образовательных центров. </w:t>
      </w:r>
    </w:p>
    <w:p w:rsidR="0022117F" w:rsidRDefault="0022117F" w:rsidP="0022117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своей работы в Центре </w:t>
      </w:r>
      <w:r>
        <w:rPr>
          <w:rFonts w:ascii="Times New Roman" w:hAnsi="Times New Roman"/>
          <w:sz w:val="28"/>
          <w:szCs w:val="28"/>
          <w:lang w:val="en-US"/>
        </w:rPr>
        <w:t>AMTEC</w:t>
      </w:r>
      <w:r w:rsidRPr="000E5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KAZAN</w:t>
      </w:r>
      <w:r w:rsidRPr="000E5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обучено более 12 000 специалистов в сфере здравоохранения из 78 регионов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Азербайджана, Армении, Белоруссии, Казахстана Таджикистана, 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бекистана, Украины, Европейских стран. За этот период было проведено более 90 мастер классов с участием ведущих зарубежных и отечественных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 по перспективным направлениям здравоохранения; проведено 36  межд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народных конференций; налажено сотрудничество с ведущими клиниками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ра, включая Клинику Мейо (США).</w:t>
      </w:r>
    </w:p>
    <w:p w:rsidR="0022117F" w:rsidRDefault="0022117F" w:rsidP="0022117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 в Образовательном центре  проводится обучение специалистов сферы здравоохранения по 36 специальностям и направлениям. К настоящему времени подготовлены программы обучения ещё  по 6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альностям, для реализации которых потребовалась дополнительная площадь.</w:t>
      </w:r>
    </w:p>
    <w:p w:rsidR="0022117F" w:rsidRDefault="0022117F" w:rsidP="0022117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Благодаря поддержке Президента Республики Татарстан Р.Н. </w:t>
      </w:r>
      <w:proofErr w:type="spellStart"/>
      <w:r>
        <w:rPr>
          <w:rFonts w:ascii="Times New Roman" w:hAnsi="Times New Roman"/>
          <w:sz w:val="28"/>
          <w:szCs w:val="28"/>
        </w:rPr>
        <w:t>Минних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распоряжением Министерства земельных и имущественных отношений Республики Татарстан от 24.07.2015 №1729 нежилые помещения здания пищ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вого блока общей площадью 561,1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расположенных по адресу: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Татарстан,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азань</w:t>
      </w:r>
      <w:proofErr w:type="spellEnd"/>
      <w:r>
        <w:rPr>
          <w:rFonts w:ascii="Times New Roman" w:hAnsi="Times New Roman"/>
          <w:sz w:val="28"/>
          <w:szCs w:val="28"/>
        </w:rPr>
        <w:t>, Оренбургский тракт, д.138, блок Д по договору безво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мездного пользования были переданы Образовательному центру. </w:t>
      </w:r>
    </w:p>
    <w:p w:rsidR="0022117F" w:rsidRDefault="0022117F" w:rsidP="0022117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самые короткие сроки Образовательный центр на полученных 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щадях за собственные средства произвел ремонт помещений, оборудовал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диционирование и вентиляцию, сменил коммуникации в соответствии со всеми современными стандартами. Общая сумма, затраченная на ремонт, составила  11 млн. рублей. ОАО Региональным инжиниринговым центром медицинских симуляторов «Центр медицинской науки» передано </w:t>
      </w:r>
      <w:proofErr w:type="spellStart"/>
      <w:r>
        <w:rPr>
          <w:rFonts w:ascii="Times New Roman" w:hAnsi="Times New Roman"/>
          <w:sz w:val="28"/>
          <w:szCs w:val="28"/>
        </w:rPr>
        <w:t>симуляционное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производства компании «</w:t>
      </w:r>
      <w:proofErr w:type="spellStart"/>
      <w:r>
        <w:rPr>
          <w:rFonts w:ascii="Times New Roman" w:hAnsi="Times New Roman"/>
          <w:sz w:val="28"/>
          <w:szCs w:val="28"/>
        </w:rPr>
        <w:t>Эйдос</w:t>
      </w:r>
      <w:proofErr w:type="spellEnd"/>
      <w:r>
        <w:rPr>
          <w:rFonts w:ascii="Times New Roman" w:hAnsi="Times New Roman"/>
          <w:sz w:val="28"/>
          <w:szCs w:val="28"/>
        </w:rPr>
        <w:t>» по шести  новым направлениям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22117F" w:rsidRDefault="0022117F" w:rsidP="0022117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к запуску готовы следующие программы:</w:t>
      </w:r>
    </w:p>
    <w:p w:rsidR="0022117F" w:rsidRDefault="0022117F" w:rsidP="0022117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Гибкая </w:t>
      </w:r>
      <w:proofErr w:type="spellStart"/>
      <w:r>
        <w:rPr>
          <w:rFonts w:ascii="Times New Roman" w:hAnsi="Times New Roman"/>
          <w:sz w:val="28"/>
          <w:szCs w:val="28"/>
        </w:rPr>
        <w:t>гастродуоденоскопия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2117F" w:rsidRDefault="0022117F" w:rsidP="0022117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Ультразвуковая диагностика</w:t>
      </w:r>
    </w:p>
    <w:p w:rsidR="0022117F" w:rsidRDefault="0022117F" w:rsidP="0022117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Стоматология</w:t>
      </w:r>
    </w:p>
    <w:p w:rsidR="0022117F" w:rsidRDefault="0022117F" w:rsidP="0022117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Реанимация и анестезиология</w:t>
      </w:r>
    </w:p>
    <w:p w:rsidR="0022117F" w:rsidRDefault="0022117F" w:rsidP="0022117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Бронхоскопия</w:t>
      </w:r>
    </w:p>
    <w:p w:rsidR="0022117F" w:rsidRDefault="0022117F" w:rsidP="0022117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Колоноскопия</w:t>
      </w:r>
      <w:proofErr w:type="spellEnd"/>
    </w:p>
    <w:p w:rsidR="0022117F" w:rsidRDefault="0022117F" w:rsidP="0022117F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направления образования являются, безусловно востребова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ными специалистами как Республики Татарстан, так и всей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рацией. По данным специальностям смогут обучиться дополнительно еще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лее                     200 слушателей ежегодно, включая интернов и ординаторов медицинских ВУЗов г.Казани, которые по окончанию учёбы будут работать в системе здравоохранения Республики Татарстан, что значительно повысит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чество оказываемой медицинской помощи населению.</w:t>
      </w:r>
    </w:p>
    <w:p w:rsidR="0022117F" w:rsidRDefault="0022117F" w:rsidP="0022117F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color w:val="548DD4"/>
          <w:szCs w:val="28"/>
          <w:lang w:eastAsia="ru-RU"/>
        </w:rPr>
      </w:pPr>
    </w:p>
    <w:p w:rsidR="0022117F" w:rsidRDefault="0022117F" w:rsidP="0022117F"/>
    <w:p w:rsidR="00C256FD" w:rsidRPr="00831226" w:rsidRDefault="00C256FD">
      <w:pPr>
        <w:ind w:left="0"/>
        <w:rPr>
          <w:rFonts w:ascii="Times New Roman" w:hAnsi="Times New Roman"/>
          <w:sz w:val="24"/>
          <w:szCs w:val="24"/>
        </w:rPr>
      </w:pPr>
    </w:p>
    <w:sectPr w:rsidR="00C256FD" w:rsidRPr="00831226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62" w:rsidRDefault="00AC2F62" w:rsidP="00676AE2">
      <w:pPr>
        <w:spacing w:line="240" w:lineRule="auto"/>
      </w:pPr>
      <w:r>
        <w:separator/>
      </w:r>
    </w:p>
  </w:endnote>
  <w:endnote w:type="continuationSeparator" w:id="0">
    <w:p w:rsidR="00AC2F62" w:rsidRDefault="00AC2F62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62" w:rsidRDefault="00AC2F62" w:rsidP="00676AE2">
      <w:pPr>
        <w:spacing w:line="240" w:lineRule="auto"/>
      </w:pPr>
      <w:r>
        <w:separator/>
      </w:r>
    </w:p>
  </w:footnote>
  <w:footnote w:type="continuationSeparator" w:id="0">
    <w:p w:rsidR="00AC2F62" w:rsidRDefault="00AC2F62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117F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2F62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941E-2C8F-4447-BAFE-80A1C0CD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2016-02-08T08:26:00Z</cp:lastPrinted>
  <dcterms:created xsi:type="dcterms:W3CDTF">2016-02-08T08:36:00Z</dcterms:created>
  <dcterms:modified xsi:type="dcterms:W3CDTF">2016-02-08T08:36:00Z</dcterms:modified>
</cp:coreProperties>
</file>